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6" w:rsidRDefault="00B712B6" w:rsidP="00B712B6">
      <w:pPr>
        <w:spacing w:line="560" w:lineRule="exact"/>
        <w:rPr>
          <w:rFonts w:ascii="黑体" w:eastAsia="黑体" w:hAnsi="黑体"/>
          <w:sz w:val="32"/>
          <w:szCs w:val="32"/>
        </w:rPr>
      </w:pPr>
      <w:r w:rsidRPr="003D6435">
        <w:rPr>
          <w:rFonts w:ascii="黑体" w:eastAsia="黑体" w:hAnsi="黑体" w:hint="eastAsia"/>
          <w:sz w:val="32"/>
          <w:szCs w:val="32"/>
        </w:rPr>
        <w:t>附件2</w:t>
      </w:r>
    </w:p>
    <w:p w:rsidR="00B712B6" w:rsidRPr="003D6435" w:rsidRDefault="00B712B6" w:rsidP="00B712B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712B6" w:rsidRPr="0003761D" w:rsidRDefault="00B712B6" w:rsidP="00B712B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3761D">
        <w:rPr>
          <w:rFonts w:ascii="方正小标宋简体" w:eastAsia="方正小标宋简体" w:hint="eastAsia"/>
          <w:sz w:val="44"/>
          <w:szCs w:val="44"/>
        </w:rPr>
        <w:t>发现书香城市（区县级）活动评价指标</w:t>
      </w:r>
    </w:p>
    <w:p w:rsidR="00B712B6" w:rsidRPr="003D6435" w:rsidRDefault="00B712B6" w:rsidP="00B712B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8"/>
        <w:gridCol w:w="1473"/>
        <w:gridCol w:w="1222"/>
        <w:gridCol w:w="3440"/>
        <w:gridCol w:w="6128"/>
      </w:tblGrid>
      <w:tr w:rsidR="00B712B6" w:rsidRPr="00D95F01" w:rsidTr="00067B6F">
        <w:trPr>
          <w:tblHeader/>
          <w:jc w:val="center"/>
        </w:trPr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ind w:leftChars="-51" w:left="-107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指标值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评价原则及上</w:t>
            </w:r>
            <w:proofErr w:type="gramStart"/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传资料</w:t>
            </w:r>
            <w:proofErr w:type="gramEnd"/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必备条件</w:t>
            </w: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县级图书馆等级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部颁一级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提供最近一次评估定级一级馆的证明材料（如文件扫描件）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县域总分馆体系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6"/>
                <w:kern w:val="0"/>
                <w:sz w:val="28"/>
                <w:szCs w:val="28"/>
              </w:rPr>
              <w:t>政府主导、资源共享、服务标准统一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提供县级政府颁发的制度文件和相关数据，服务标准文档，资源共享的佐证材料，在视频中也应有适应体现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人均藏书（纸本）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6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只指县域总分馆书目库内的藏书。提供官方公布的上一年度常住人口数据及藏书统计报表（或管理系统统计截屏）。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</w:t>
            </w:r>
            <w:proofErr w:type="gramStart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分馆人均</w:t>
            </w:r>
            <w:proofErr w:type="gramEnd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年新增藏书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6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0.04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提供报表或统计数据截屏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阅读推广活动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场次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县、各乡镇图书馆（分馆）分别计算，包括讲座、展览、故事会、读书会、阅读兴趣和素养培训等.。提供年度报表和适量活动图片。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公共阅读设施免费开放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免费开放的时间按指标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提供免费开放的文件、财政补贴拨款凭证扫描件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</w:t>
            </w:r>
            <w:proofErr w:type="gramStart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分馆人均</w:t>
            </w:r>
            <w:proofErr w:type="gramEnd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外借册次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册次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县域总分馆外借总册次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常住人口，提供以及计算机管理系统统计的年度外借册次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全民阅读活动领导小组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县级党委或政府建立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提供县级党委或政府颁发的相关文件（PDF文档或扫描件）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t>公共阅读栏屏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版或屏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每千人拥有2个版面或屏幕，包括阅报栏、多媒体屏、电子屏等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按常住人口计算，提供版面或屏幕的统计数据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阅读设施</w:t>
            </w: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流动图书车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辆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提供流动车图片、停靠点名录、服务公示和服务数据报表</w:t>
            </w:r>
          </w:p>
        </w:tc>
      </w:tr>
      <w:tr w:rsidR="00B712B6" w:rsidRPr="00D95F01" w:rsidTr="00067B6F">
        <w:trPr>
          <w:cantSplit/>
          <w:trHeight w:val="547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农家书屋设置率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提供承诺书及适量图片</w:t>
            </w:r>
          </w:p>
        </w:tc>
      </w:tr>
      <w:tr w:rsidR="00B712B6" w:rsidRPr="00D95F01" w:rsidTr="00067B6F">
        <w:trPr>
          <w:cantSplit/>
          <w:trHeight w:val="583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职工书屋设置率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占区域</w:t>
            </w:r>
            <w:proofErr w:type="gramEnd"/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内千人以上企业的%，提供承诺书及适量图片</w:t>
            </w:r>
          </w:p>
        </w:tc>
      </w:tr>
      <w:tr w:rsidR="00B712B6" w:rsidRPr="00D95F01" w:rsidTr="00067B6F">
        <w:trPr>
          <w:cantSplit/>
          <w:trHeight w:val="584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学校图书馆设置率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包括区域内所有全日制学校，提供名录及适量图片</w:t>
            </w:r>
          </w:p>
        </w:tc>
      </w:tr>
      <w:tr w:rsidR="00B712B6" w:rsidRPr="00D95F01" w:rsidTr="00067B6F">
        <w:trPr>
          <w:cantSplit/>
          <w:trHeight w:val="606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t>公共阅报栏千人版面设置率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版/千人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2个版面的窗口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按常住人口计算及适量图片</w:t>
            </w:r>
          </w:p>
        </w:tc>
      </w:tr>
      <w:tr w:rsidR="00B712B6" w:rsidRPr="00D95F01" w:rsidTr="00067B6F">
        <w:trPr>
          <w:cantSplit/>
          <w:trHeight w:val="614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阅读场所指引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县、镇图书馆（含图书馆分馆），在城市道路指引系统、城市地图中标识清晰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提供图片和地图</w:t>
            </w:r>
          </w:p>
        </w:tc>
      </w:tr>
      <w:tr w:rsidR="00B712B6" w:rsidRPr="00D95F01" w:rsidTr="00067B6F">
        <w:trPr>
          <w:cantSplit/>
          <w:trHeight w:val="614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t>共享工程县级</w:t>
            </w:r>
            <w:proofErr w:type="gramStart"/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t>支中心</w:t>
            </w:r>
            <w:proofErr w:type="gramEnd"/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cs="Arial" w:hint="eastAsia"/>
                <w:bCs/>
                <w:kern w:val="0"/>
                <w:sz w:val="28"/>
                <w:szCs w:val="28"/>
              </w:rPr>
              <w:t>100%达到文化部规定的配置标准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提供</w:t>
            </w:r>
            <w:proofErr w:type="gramStart"/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支中心</w:t>
            </w:r>
            <w:proofErr w:type="gramEnd"/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设备图片以及上墙资料图片</w:t>
            </w:r>
          </w:p>
        </w:tc>
      </w:tr>
      <w:tr w:rsidR="00B712B6" w:rsidRPr="00D95F01" w:rsidTr="00067B6F">
        <w:trPr>
          <w:cantSplit/>
          <w:trHeight w:val="614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共享工程基层服务点与公共电子阅览室设置率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提供承诺书及适量图片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阅读</w:t>
            </w: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资源</w:t>
            </w:r>
          </w:p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乡镇图书馆报刊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种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提供征订单扫描件</w:t>
            </w:r>
          </w:p>
        </w:tc>
      </w:tr>
      <w:tr w:rsidR="00B712B6" w:rsidRPr="00D95F01" w:rsidTr="00067B6F">
        <w:trPr>
          <w:cantSplit/>
          <w:trHeight w:val="599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县域总分馆可用数字资源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TB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指自建、下载到本地服务器的资源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学校生均拥有藏书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达到教育部对各级各类全日制学校生均藏书的规定指标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提供各年级学生数和藏书数的统计报表</w:t>
            </w:r>
          </w:p>
        </w:tc>
      </w:tr>
      <w:tr w:rsidR="00B712B6" w:rsidRPr="00D95F01" w:rsidTr="00067B6F">
        <w:trPr>
          <w:cantSplit/>
          <w:trHeight w:val="605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阅读服务</w:t>
            </w: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及活动</w:t>
            </w: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阅读节或阅读月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由</w:t>
            </w: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全民阅读活动领导小组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主办，提供文件扫描件及活动图片</w:t>
            </w:r>
          </w:p>
        </w:tc>
      </w:tr>
      <w:tr w:rsidR="00B712B6" w:rsidRPr="00D95F01" w:rsidTr="00067B6F">
        <w:trPr>
          <w:cantSplit/>
          <w:trHeight w:val="605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特色读书活动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proofErr w:type="gramStart"/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指结合地域文化且具有影响力的读书活动。提供佐证图片资料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县图书馆免费开放时间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提供公示的图片资料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乡镇图书馆免费开放时间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提供公示的图片资料</w:t>
            </w:r>
          </w:p>
        </w:tc>
      </w:tr>
      <w:tr w:rsidR="00B712B6" w:rsidRPr="00D95F01" w:rsidTr="00067B6F">
        <w:trPr>
          <w:cantSplit/>
          <w:trHeight w:val="625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农家书屋免费开放时间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提供公示的图片资料</w:t>
            </w:r>
          </w:p>
        </w:tc>
      </w:tr>
      <w:tr w:rsidR="00B712B6" w:rsidRPr="00D95F01" w:rsidTr="00067B6F">
        <w:trPr>
          <w:cantSplit/>
          <w:trHeight w:val="64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职工书屋免费开放时间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提供公示的图片资料</w:t>
            </w:r>
          </w:p>
        </w:tc>
      </w:tr>
      <w:tr w:rsidR="00B712B6" w:rsidRPr="00D95F01" w:rsidTr="00067B6F">
        <w:trPr>
          <w:cantSplit/>
          <w:trHeight w:val="607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t>共享工程基层服务点、公共电子阅览室免费开放时间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设置在公共阅读机构中的应与该机构免费服务开放时间相同，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提供公示的图片资料</w:t>
            </w:r>
          </w:p>
        </w:tc>
      </w:tr>
      <w:tr w:rsidR="00B712B6" w:rsidRPr="00D95F01" w:rsidTr="00067B6F">
        <w:trPr>
          <w:cantSplit/>
          <w:trHeight w:val="614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编制导读推荐书目和阅读品鉴资料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每月2次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导读推荐书目包括新书推荐书目、专题导读书目、图书馆外借排行榜等。提供佐证材料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县级图书馆网站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具有文献检索、阅读、咨询等功能的统一平台，并能直接使用县级图书馆相应数量数字资源，直接登录检查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县级公共阅读场所开放免费WIFI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在县级公共阅读服务设施内提供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视障读者服务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4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有盲文阅览室、有视障读者专用设备、有适合其阅读的服务，提供证明图片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少儿阅读兴趣培养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4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有少儿阅览设施、有增加少儿阅读兴趣、培养阅读习惯的服务项目和活动。提供文字及图片证明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外人务工人员服务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4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有就业信息、工地借阅服务。提供佐证图片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老龄读者</w:t>
            </w:r>
            <w:proofErr w:type="gramEnd"/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阅读服务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spacing w:val="-4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spacing w:val="-4"/>
                <w:kern w:val="0"/>
                <w:sz w:val="28"/>
                <w:szCs w:val="28"/>
              </w:rPr>
              <w:t>交流、品鉴、计算机使用技能培训。提供佐证图片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spacing w:line="273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阅读环境</w:t>
            </w: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新闻媒体设全民阅读专题节目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期/年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包括报纸、电视、电台。提供报道目录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spacing w:line="273" w:lineRule="auto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网络媒体设全民阅读频道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政府网站有阅读平台的链接，直接上网检查。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spacing w:line="273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新闻媒体投放全民阅读公益广告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100%的新闻媒体投放全民阅读公益广告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新闻媒体主要指当地的报纸、电视台、电台和网络媒体。提供证明材料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spacing w:val="-18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主要公共场所广告屏投放全民阅读公益广告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100%的广告</w:t>
            </w:r>
            <w:proofErr w:type="gramStart"/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屏每天</w:t>
            </w:r>
            <w:proofErr w:type="gramEnd"/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投放全民阅读公益广告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主要公共场所指城市和乡镇车站、集贸市场、商场、广场等人流密集地点。提供佐证图片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阅读活动居民参与率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提供调查报告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阅读环境居民满意率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提供调查报告（可以上一指标合并报告）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县域总分馆有效读者持证率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县域总分馆有效持证读者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常住人口，提供读者</w:t>
            </w:r>
            <w:proofErr w:type="gramStart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证统计</w:t>
            </w:r>
            <w:proofErr w:type="gramEnd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数据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县域总</w:t>
            </w:r>
            <w:proofErr w:type="gramStart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分馆人均</w:t>
            </w:r>
            <w:proofErr w:type="gramEnd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到馆次数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全市公共图书馆服务体系到馆总</w:t>
            </w:r>
            <w:proofErr w:type="gramStart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人次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proofErr w:type="gramEnd"/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常住人口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人均数字资源点击次数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县图书馆网站点击次数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常住人口，提供点击次数统计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spacing w:line="161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社会阅读组织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spacing w:line="161" w:lineRule="atLeas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家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每个组织每年活动不少于4次，提供活动图片</w:t>
            </w:r>
          </w:p>
        </w:tc>
      </w:tr>
      <w:tr w:rsidR="00B712B6" w:rsidRPr="00D95F01" w:rsidTr="00067B6F">
        <w:trPr>
          <w:cantSplit/>
          <w:trHeight w:val="535"/>
          <w:jc w:val="center"/>
        </w:trPr>
        <w:tc>
          <w:tcPr>
            <w:tcW w:w="0" w:type="auto"/>
            <w:vMerge w:val="restart"/>
            <w:vAlign w:val="center"/>
          </w:tcPr>
          <w:p w:rsidR="00B712B6" w:rsidRPr="00D95F01" w:rsidRDefault="00B712B6" w:rsidP="00067B6F">
            <w:pPr>
              <w:widowControl/>
              <w:spacing w:line="273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保障</w:t>
            </w:r>
            <w:r w:rsidRPr="00D95F01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条件</w:t>
            </w:r>
          </w:p>
          <w:p w:rsidR="00B712B6" w:rsidRPr="00D95F01" w:rsidRDefault="00B712B6" w:rsidP="00067B6F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pacing w:val="-6"/>
                <w:kern w:val="0"/>
                <w:sz w:val="28"/>
                <w:szCs w:val="28"/>
              </w:rPr>
              <w:lastRenderedPageBreak/>
              <w:t>全民阅读专门机构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县级文化主管部门设置、活动正常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提供文件和台账</w:t>
            </w:r>
          </w:p>
        </w:tc>
      </w:tr>
      <w:tr w:rsidR="00B712B6" w:rsidRPr="00D95F01" w:rsidTr="00067B6F">
        <w:trPr>
          <w:cantSplit/>
          <w:trHeight w:val="535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全民阅读活动经费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纳入政府财政预算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提供拨款凭证扫描件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图书馆购书经费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满足新增文献要求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提供拨款凭证扫描件</w:t>
            </w:r>
          </w:p>
        </w:tc>
      </w:tr>
      <w:tr w:rsidR="00B712B6" w:rsidRPr="00D95F01" w:rsidTr="00067B6F">
        <w:trPr>
          <w:cantSplit/>
          <w:trHeight w:val="58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公共图书馆专业人员</w:t>
            </w: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/</w:t>
            </w: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／常住人口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1:10000——20000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提供县级图书馆总馆的编制批准文件，</w:t>
            </w:r>
          </w:p>
        </w:tc>
      </w:tr>
      <w:tr w:rsidR="00B712B6" w:rsidRPr="00D95F01" w:rsidTr="00067B6F">
        <w:trPr>
          <w:cantSplit/>
          <w:trHeight w:val="63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乡镇文化专职人员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人/乡镇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提供文件或其他证明材料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阅读推广志愿者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‰</w:t>
            </w: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阅读推广人是指以志愿者形式参与全民阅读工作的个人。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绩效考核制度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有制度，执行良好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提供考核制度的文件扫描件及考核成果资料</w:t>
            </w:r>
          </w:p>
        </w:tc>
      </w:tr>
      <w:tr w:rsidR="00B712B6" w:rsidRPr="00D95F01" w:rsidTr="00067B6F">
        <w:trPr>
          <w:cantSplit/>
          <w:trHeight w:val="601"/>
          <w:jc w:val="center"/>
        </w:trPr>
        <w:tc>
          <w:tcPr>
            <w:tcW w:w="0" w:type="auto"/>
            <w:vMerge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712B6" w:rsidRPr="00D95F01" w:rsidRDefault="00B712B6" w:rsidP="00067B6F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引导和鼓励政策</w:t>
            </w:r>
          </w:p>
        </w:tc>
        <w:tc>
          <w:tcPr>
            <w:tcW w:w="1222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:rsidR="00B712B6" w:rsidRPr="003D6435" w:rsidRDefault="00B712B6" w:rsidP="00067B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D6435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有政策，执行良好</w:t>
            </w:r>
          </w:p>
        </w:tc>
        <w:tc>
          <w:tcPr>
            <w:tcW w:w="6128" w:type="dxa"/>
            <w:vAlign w:val="center"/>
          </w:tcPr>
          <w:p w:rsidR="00B712B6" w:rsidRPr="00D95F01" w:rsidRDefault="00B712B6" w:rsidP="00067B6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95F01">
              <w:rPr>
                <w:rFonts w:ascii="仿宋_GB2312" w:eastAsia="仿宋_GB2312" w:hint="eastAsia"/>
                <w:kern w:val="0"/>
                <w:sz w:val="28"/>
                <w:szCs w:val="28"/>
              </w:rPr>
              <w:t>颁布鼓励、引导社会力量参与全民阅读的政策。提供政策的文件扫描件和执行证明资料。</w:t>
            </w:r>
          </w:p>
        </w:tc>
      </w:tr>
    </w:tbl>
    <w:p w:rsidR="00B712B6" w:rsidRPr="000B24C6" w:rsidRDefault="00B712B6" w:rsidP="00B712B6">
      <w:pPr>
        <w:rPr>
          <w:rFonts w:hint="eastAsia"/>
          <w:sz w:val="32"/>
          <w:szCs w:val="32"/>
        </w:rPr>
      </w:pPr>
    </w:p>
    <w:p w:rsidR="00B83409" w:rsidRPr="00B712B6" w:rsidRDefault="00B83409"/>
    <w:sectPr w:rsidR="00B83409" w:rsidRPr="00B712B6" w:rsidSect="006D0593">
      <w:footerReference w:type="default" r:id="rId4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B712B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712B6">
      <w:rPr>
        <w:noProof/>
        <w:lang w:val="zh-CN"/>
      </w:rPr>
      <w:t>12</w:t>
    </w:r>
    <w:r>
      <w:fldChar w:fldCharType="end"/>
    </w:r>
  </w:p>
  <w:p w:rsidR="00EF7B0A" w:rsidRDefault="00B712B6">
    <w:pPr>
      <w:pStyle w:val="af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2B6"/>
    <w:rsid w:val="00270999"/>
    <w:rsid w:val="00412A0B"/>
    <w:rsid w:val="004713DC"/>
    <w:rsid w:val="005157FF"/>
    <w:rsid w:val="00541079"/>
    <w:rsid w:val="006D0F45"/>
    <w:rsid w:val="007709C3"/>
    <w:rsid w:val="00893B11"/>
    <w:rsid w:val="00B03686"/>
    <w:rsid w:val="00B22352"/>
    <w:rsid w:val="00B712B6"/>
    <w:rsid w:val="00B8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B6"/>
    <w:pPr>
      <w:widowControl w:val="0"/>
      <w:ind w:firstLine="0"/>
      <w:jc w:val="both"/>
    </w:pPr>
    <w:rPr>
      <w:rFonts w:ascii="Times New Roman" w:hAnsi="Times New Roman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  <w:style w:type="paragraph" w:styleId="af1">
    <w:name w:val="footer"/>
    <w:basedOn w:val="a"/>
    <w:link w:val="Char4"/>
    <w:uiPriority w:val="99"/>
    <w:rsid w:val="00B7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B712B6"/>
    <w:rPr>
      <w:rFonts w:ascii="Times New Roman" w:hAnsi="Times New Roman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2016-07-06T01:26:00Z</dcterms:created>
  <dcterms:modified xsi:type="dcterms:W3CDTF">2016-07-06T01:27:00Z</dcterms:modified>
</cp:coreProperties>
</file>